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6ABC31CE" w14:textId="77777777" w:rsidR="007D7AE1" w:rsidRPr="005C73EF" w:rsidRDefault="007D7AE1" w:rsidP="007D7AE1">
            <w:pPr>
              <w:pStyle w:val="ListParagraph"/>
              <w:numPr>
                <w:ilvl w:val="0"/>
                <w:numId w:val="3"/>
              </w:numPr>
              <w:spacing w:after="200"/>
              <w:rPr>
                <w:rFonts w:cstheme="minorHAnsi"/>
                <w:sz w:val="24"/>
                <w:szCs w:val="24"/>
              </w:rPr>
            </w:pPr>
            <w:r w:rsidRPr="005C73EF">
              <w:rPr>
                <w:rFonts w:cstheme="minorHAnsi"/>
                <w:sz w:val="24"/>
                <w:szCs w:val="24"/>
              </w:rPr>
              <w:t>To increase percentage of active patients with an ethnicity recorded to 80% by June 2020</w:t>
            </w:r>
          </w:p>
          <w:p w14:paraId="50CFA166" w14:textId="77777777" w:rsidR="007D7AE1" w:rsidRPr="005C73EF" w:rsidRDefault="007D7AE1" w:rsidP="007D7AE1">
            <w:pPr>
              <w:pStyle w:val="ListParagraph"/>
              <w:numPr>
                <w:ilvl w:val="0"/>
                <w:numId w:val="3"/>
              </w:numPr>
              <w:spacing w:after="200"/>
              <w:rPr>
                <w:rFonts w:cstheme="minorHAnsi"/>
                <w:sz w:val="24"/>
                <w:szCs w:val="24"/>
              </w:rPr>
            </w:pPr>
            <w:r w:rsidRPr="005C73EF">
              <w:rPr>
                <w:rFonts w:cstheme="minorHAnsi"/>
                <w:sz w:val="24"/>
                <w:szCs w:val="24"/>
              </w:rPr>
              <w:t>To increase percentage of active patients with a smoking status recorded to 90% by June 2020</w:t>
            </w:r>
          </w:p>
          <w:p w14:paraId="312B6465" w14:textId="77777777" w:rsidR="007D7AE1" w:rsidRPr="005C73EF" w:rsidRDefault="007D7AE1" w:rsidP="007D7AE1">
            <w:pPr>
              <w:pStyle w:val="ListParagraph"/>
              <w:numPr>
                <w:ilvl w:val="0"/>
                <w:numId w:val="3"/>
              </w:numPr>
              <w:spacing w:after="200"/>
              <w:rPr>
                <w:rFonts w:cstheme="minorHAnsi"/>
                <w:sz w:val="24"/>
                <w:szCs w:val="24"/>
              </w:rPr>
            </w:pPr>
            <w:r w:rsidRPr="005C73EF">
              <w:rPr>
                <w:rFonts w:cstheme="minorHAnsi"/>
                <w:sz w:val="24"/>
                <w:szCs w:val="24"/>
              </w:rPr>
              <w:t>To increase percentage of active patients with allergy status recorded to 90% by June 2020 – ACHIEVED Jan 2020</w:t>
            </w:r>
          </w:p>
          <w:p w14:paraId="591C08DD" w14:textId="23413C7A" w:rsidR="00D73ED6" w:rsidRPr="005C73EF" w:rsidRDefault="007D7AE1" w:rsidP="005C73EF">
            <w:pPr>
              <w:pStyle w:val="ListParagraph"/>
              <w:numPr>
                <w:ilvl w:val="0"/>
                <w:numId w:val="3"/>
              </w:numPr>
              <w:spacing w:after="200"/>
              <w:rPr>
                <w:rFonts w:cstheme="minorHAnsi"/>
                <w:sz w:val="24"/>
                <w:szCs w:val="24"/>
              </w:rPr>
            </w:pPr>
            <w:r w:rsidRPr="005C73EF">
              <w:rPr>
                <w:rFonts w:cstheme="minorHAnsi"/>
                <w:sz w:val="24"/>
                <w:szCs w:val="24"/>
              </w:rPr>
              <w:t xml:space="preserve">To increase percentage of active patients with alcohol status recorded to 70% by June 2020 </w:t>
            </w: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5B2413A9" w:rsidR="006B14BA" w:rsidRPr="005C73EF" w:rsidRDefault="007D7AE1" w:rsidP="007D7C08">
            <w:pPr>
              <w:pStyle w:val="Header"/>
              <w:rPr>
                <w:rFonts w:cstheme="minorHAnsi"/>
                <w:i/>
                <w:iCs/>
                <w:sz w:val="24"/>
                <w:szCs w:val="24"/>
              </w:rPr>
            </w:pPr>
            <w:r w:rsidRPr="005C73EF">
              <w:rPr>
                <w:rFonts w:cstheme="minorHAnsi"/>
                <w:i/>
                <w:iCs/>
                <w:sz w:val="24"/>
                <w:szCs w:val="24"/>
              </w:rPr>
              <w:t>1/10/19</w:t>
            </w:r>
          </w:p>
        </w:tc>
        <w:tc>
          <w:tcPr>
            <w:tcW w:w="5387" w:type="dxa"/>
            <w:shd w:val="clear" w:color="auto" w:fill="auto"/>
          </w:tcPr>
          <w:p w14:paraId="4508D959" w14:textId="5556C6FA" w:rsidR="006B14BA" w:rsidRPr="005C73EF" w:rsidRDefault="007D7AE1" w:rsidP="007D7C08">
            <w:pPr>
              <w:pStyle w:val="Header"/>
              <w:rPr>
                <w:rFonts w:cstheme="minorHAnsi"/>
                <w:i/>
                <w:iCs/>
                <w:sz w:val="24"/>
                <w:szCs w:val="24"/>
              </w:rPr>
            </w:pPr>
            <w:r w:rsidRPr="005C73EF">
              <w:rPr>
                <w:rFonts w:cstheme="minorHAnsi"/>
                <w:i/>
                <w:iCs/>
                <w:sz w:val="24"/>
                <w:szCs w:val="24"/>
              </w:rPr>
              <w:t>30/6/20</w:t>
            </w:r>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476D3979" w14:textId="77777777" w:rsidR="007D7AE1" w:rsidRPr="005C73EF" w:rsidRDefault="007D7AE1" w:rsidP="007D7AE1">
            <w:pPr>
              <w:rPr>
                <w:rFonts w:cstheme="minorHAnsi"/>
                <w:sz w:val="24"/>
                <w:szCs w:val="24"/>
              </w:rPr>
            </w:pPr>
            <w:r w:rsidRPr="005C73EF">
              <w:rPr>
                <w:rFonts w:cstheme="minorHAnsi"/>
                <w:sz w:val="24"/>
                <w:szCs w:val="24"/>
              </w:rPr>
              <w:t xml:space="preserve">We will measure our achievements by tracking data using the CAT 4 tool </w:t>
            </w:r>
          </w:p>
          <w:p w14:paraId="32B8AD7A" w14:textId="77777777" w:rsidR="00D73ED6" w:rsidRDefault="007D7AE1" w:rsidP="007D7AE1">
            <w:pPr>
              <w:pStyle w:val="Header"/>
              <w:rPr>
                <w:rFonts w:cstheme="minorHAnsi"/>
                <w:sz w:val="24"/>
                <w:szCs w:val="24"/>
              </w:rPr>
            </w:pPr>
            <w:r w:rsidRPr="005C73EF">
              <w:rPr>
                <w:rFonts w:cstheme="minorHAnsi"/>
                <w:sz w:val="24"/>
                <w:szCs w:val="24"/>
              </w:rPr>
              <w:t>We will do monthly comparisons for each provider and include Cabarita Medical Centre figures for those doctors that work at both our centres</w:t>
            </w:r>
          </w:p>
          <w:p w14:paraId="293242F6" w14:textId="1A7C6EF0" w:rsidR="000B1176" w:rsidRPr="005C73EF" w:rsidRDefault="000B1176" w:rsidP="007D7AE1">
            <w:pPr>
              <w:pStyle w:val="Header"/>
              <w:rPr>
                <w:rFonts w:cstheme="minorHAnsi"/>
                <w:b/>
                <w:bCs/>
                <w:sz w:val="24"/>
                <w:szCs w:val="24"/>
              </w:rPr>
            </w:pPr>
          </w:p>
        </w:tc>
      </w:tr>
      <w:tr w:rsidR="00BD025B" w:rsidRPr="000B219F" w14:paraId="62D6774F" w14:textId="77777777" w:rsidTr="0041761D">
        <w:trPr>
          <w:trHeight w:val="126"/>
        </w:trPr>
        <w:tc>
          <w:tcPr>
            <w:tcW w:w="4248" w:type="dxa"/>
            <w:shd w:val="clear" w:color="auto" w:fill="auto"/>
          </w:tcPr>
          <w:p w14:paraId="3F9CE85A" w14:textId="7DDEE41F"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8401B2C" w14:textId="77777777" w:rsidR="000B219F" w:rsidRDefault="00A66E3A" w:rsidP="000B1176">
            <w:pPr>
              <w:pStyle w:val="Header"/>
              <w:rPr>
                <w:i/>
                <w:iCs/>
              </w:rPr>
            </w:pPr>
            <w:r w:rsidRPr="00AF3A00">
              <w:rPr>
                <w:i/>
                <w:iCs/>
              </w:rPr>
              <w:t>Initial discussion</w:t>
            </w:r>
          </w:p>
          <w:p w14:paraId="5865A371" w14:textId="051B029E" w:rsidR="000B1176" w:rsidRPr="000B219F" w:rsidRDefault="000B1176" w:rsidP="000B1176">
            <w:pPr>
              <w:pStyle w:val="Header"/>
              <w:rPr>
                <w:b/>
                <w:bCs/>
                <w:sz w:val="28"/>
                <w:szCs w:val="28"/>
              </w:rPr>
            </w:pPr>
          </w:p>
        </w:tc>
        <w:tc>
          <w:tcPr>
            <w:tcW w:w="9781" w:type="dxa"/>
            <w:gridSpan w:val="2"/>
            <w:shd w:val="clear" w:color="auto" w:fill="auto"/>
          </w:tcPr>
          <w:p w14:paraId="501FB66C" w14:textId="1EEC687E" w:rsidR="001A2F93" w:rsidRPr="005C73EF" w:rsidRDefault="007D7AE1" w:rsidP="007D7C08">
            <w:pPr>
              <w:pStyle w:val="Header"/>
              <w:rPr>
                <w:b/>
                <w:bCs/>
                <w:sz w:val="24"/>
                <w:szCs w:val="24"/>
              </w:rPr>
            </w:pPr>
            <w:r w:rsidRPr="005C73EF">
              <w:rPr>
                <w:sz w:val="24"/>
                <w:szCs w:val="24"/>
              </w:rPr>
              <w:t>Initial meeting with Practice Manager, Practice Nurse Manager, GP Principle and Primary Health Coordinator from NCPHN. We looked at PIP QI dashboard and thought it would be a great starting QI activity to work on data quality at our practice.</w:t>
            </w:r>
          </w:p>
        </w:tc>
      </w:tr>
      <w:tr w:rsidR="009F60EC" w:rsidRPr="005E5A1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061AABA2" w14:textId="3E9629B5" w:rsidR="000B219F" w:rsidRDefault="00755A96" w:rsidP="007D7C08">
            <w:pPr>
              <w:pStyle w:val="Header"/>
              <w:rPr>
                <w:b/>
                <w:bCs/>
                <w:sz w:val="28"/>
                <w:szCs w:val="28"/>
              </w:rPr>
            </w:pPr>
            <w:r w:rsidRPr="00AF3A00">
              <w:rPr>
                <w:i/>
                <w:iCs/>
              </w:rPr>
              <w:t>Decide which idea</w:t>
            </w:r>
          </w:p>
          <w:p w14:paraId="0415C5BA" w14:textId="77777777" w:rsidR="000B219F" w:rsidRDefault="000B219F" w:rsidP="007D7C08">
            <w:pPr>
              <w:pStyle w:val="Header"/>
              <w:rPr>
                <w:b/>
                <w:bCs/>
                <w:sz w:val="28"/>
                <w:szCs w:val="28"/>
              </w:rPr>
            </w:pPr>
          </w:p>
          <w:p w14:paraId="4ED857E9" w14:textId="1E1C6475" w:rsidR="009F60EC" w:rsidRPr="000B219F" w:rsidRDefault="009F60EC" w:rsidP="007D7C08">
            <w:pPr>
              <w:pStyle w:val="Header"/>
              <w:rPr>
                <w:b/>
                <w:bCs/>
                <w:sz w:val="28"/>
                <w:szCs w:val="28"/>
              </w:rPr>
            </w:pPr>
          </w:p>
        </w:tc>
        <w:tc>
          <w:tcPr>
            <w:tcW w:w="9781" w:type="dxa"/>
            <w:gridSpan w:val="2"/>
            <w:shd w:val="clear" w:color="auto" w:fill="auto"/>
          </w:tcPr>
          <w:p w14:paraId="730C1E07" w14:textId="77777777" w:rsidR="007D7AE1" w:rsidRPr="00F41514" w:rsidRDefault="007D7AE1" w:rsidP="007D7C08">
            <w:pPr>
              <w:pStyle w:val="Header"/>
              <w:rPr>
                <w:sz w:val="24"/>
                <w:szCs w:val="24"/>
              </w:rPr>
            </w:pPr>
            <w:r w:rsidRPr="00F41514">
              <w:rPr>
                <w:sz w:val="24"/>
                <w:szCs w:val="24"/>
              </w:rPr>
              <w:t>Engage Team by sending out email to all staff</w:t>
            </w:r>
          </w:p>
          <w:p w14:paraId="1A80DF11" w14:textId="77777777" w:rsidR="007D7AE1" w:rsidRPr="00F41514" w:rsidRDefault="007D7AE1" w:rsidP="007D7C08">
            <w:pPr>
              <w:pStyle w:val="Header"/>
              <w:rPr>
                <w:sz w:val="24"/>
                <w:szCs w:val="24"/>
              </w:rPr>
            </w:pPr>
            <w:r w:rsidRPr="00F41514">
              <w:rPr>
                <w:sz w:val="24"/>
                <w:szCs w:val="24"/>
              </w:rPr>
              <w:t>Put up progress graphs in staff room</w:t>
            </w:r>
          </w:p>
          <w:p w14:paraId="6991FF13" w14:textId="77777777" w:rsidR="007D7AE1" w:rsidRPr="00F41514" w:rsidRDefault="007D7AE1" w:rsidP="007D7C08">
            <w:pPr>
              <w:pStyle w:val="Header"/>
              <w:rPr>
                <w:sz w:val="24"/>
                <w:szCs w:val="24"/>
              </w:rPr>
            </w:pPr>
            <w:r w:rsidRPr="00F41514">
              <w:rPr>
                <w:sz w:val="24"/>
                <w:szCs w:val="24"/>
              </w:rPr>
              <w:t>Create a data quality spreadsheet so that each GP can see how they are tracking</w:t>
            </w:r>
          </w:p>
          <w:p w14:paraId="5CB152D2" w14:textId="33D78887" w:rsidR="007D7AE1" w:rsidRPr="007D7AE1" w:rsidRDefault="007D7AE1" w:rsidP="00BF2EE5">
            <w:pPr>
              <w:pStyle w:val="Header"/>
              <w:rPr>
                <w:i/>
                <w:iCs/>
              </w:rPr>
            </w:pPr>
            <w:r w:rsidRPr="00F41514">
              <w:rPr>
                <w:sz w:val="24"/>
                <w:szCs w:val="24"/>
              </w:rPr>
              <w:t>Compare figures for each provider after three months</w:t>
            </w:r>
          </w:p>
        </w:tc>
      </w:tr>
    </w:tbl>
    <w:p w14:paraId="3A3AAE76" w14:textId="77777777" w:rsidR="000B1176" w:rsidRDefault="000B1176" w:rsidP="003925F2">
      <w:pPr>
        <w:rPr>
          <w:sz w:val="36"/>
          <w:szCs w:val="36"/>
        </w:rPr>
      </w:pPr>
    </w:p>
    <w:p w14:paraId="67E1C2EA" w14:textId="4E5F5487"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1D3BB5E1"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sidR="007D7AE1">
              <w:rPr>
                <w:b/>
                <w:bCs/>
                <w:sz w:val="48"/>
                <w:szCs w:val="48"/>
              </w:rPr>
              <w:t>9</w:t>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56609CE" w14:textId="7BBF7A52" w:rsidR="00BC6AE6" w:rsidRPr="0096286D"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r w:rsidR="007D7AE1">
              <w:rPr>
                <w:b/>
                <w:bCs/>
              </w:rPr>
              <w:t xml:space="preserve"> </w:t>
            </w:r>
            <w:r w:rsidR="007D7AE1" w:rsidRPr="00B42EA3">
              <w:t>We will have up to date patient records making their quality of care better</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17B4369C"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r w:rsidR="007D7AE1">
              <w:rPr>
                <w:b/>
                <w:bCs/>
              </w:rPr>
              <w:t xml:space="preserve"> </w:t>
            </w:r>
            <w:r w:rsidR="007D7AE1" w:rsidRPr="00B42EA3">
              <w:t>If a clinician is seeing another GP</w:t>
            </w:r>
            <w:r w:rsidR="000B1176">
              <w:t>’</w:t>
            </w:r>
            <w:r w:rsidR="007D7AE1" w:rsidRPr="00B42EA3">
              <w:t>s patient they can ensure that the record is up to date which will save time.</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16BD3150" w:rsidR="00BC6AE6" w:rsidRPr="0096286D" w:rsidRDefault="007D7AE1" w:rsidP="009B46E3">
            <w:pPr>
              <w:jc w:val="center"/>
              <w:rPr>
                <w:b/>
                <w:bCs/>
              </w:rPr>
            </w:pPr>
            <w:r>
              <w:rPr>
                <w:b/>
                <w:bCs/>
                <w:sz w:val="48"/>
                <w:szCs w:val="48"/>
              </w:rPr>
              <w:t>9</w:t>
            </w:r>
            <w:r w:rsidR="00BC6AE6">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82F7C7A" w14:textId="59B40722"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r w:rsidR="007D7AE1">
              <w:rPr>
                <w:b/>
                <w:bCs/>
              </w:rPr>
              <w:t xml:space="preserve"> </w:t>
            </w:r>
            <w:r w:rsidR="007D7AE1" w:rsidRPr="00B42EA3">
              <w:t>Time saving, risk reduction</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496DFF0D" w14:textId="3642DFF2"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r w:rsidR="007D7AE1">
              <w:rPr>
                <w:b/>
                <w:bCs/>
              </w:rPr>
              <w:t xml:space="preserve"> </w:t>
            </w:r>
            <w:r w:rsidR="007D7AE1" w:rsidRPr="00B42EA3">
              <w:t xml:space="preserve">Having this conversation earlier on with our patients around alcohol, smoking, allergies and ethnicity ensures that we are able to offer them support if need be which may help prevent the need for </w:t>
            </w:r>
            <w:r w:rsidR="00CF1954" w:rsidRPr="00B42EA3">
              <w:t>interventions later on.</w:t>
            </w: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7265731D" w14:textId="77777777" w:rsidR="00CF1954" w:rsidRDefault="00CF1954" w:rsidP="00281251">
            <w:pPr>
              <w:rPr>
                <w:b/>
                <w:bCs/>
              </w:rPr>
            </w:pPr>
          </w:p>
          <w:p w14:paraId="4B7BB4F6" w14:textId="7C16490A" w:rsidR="00CF1954" w:rsidRPr="00281251" w:rsidRDefault="00CF1954" w:rsidP="00281251">
            <w:pPr>
              <w:rPr>
                <w:b/>
                <w:bCs/>
              </w:rPr>
            </w:pPr>
            <w:r w:rsidRPr="76BB5E43">
              <w:rPr>
                <w:rFonts w:ascii="Arial" w:hAnsi="Arial" w:cs="Arial"/>
                <w:b/>
                <w:bCs/>
                <w:sz w:val="20"/>
                <w:szCs w:val="20"/>
              </w:rPr>
              <w:t>Send an email to all staff notifying them of the QI work we are doing and the goals we are working on.</w:t>
            </w:r>
          </w:p>
        </w:tc>
        <w:tc>
          <w:tcPr>
            <w:tcW w:w="3989" w:type="dxa"/>
          </w:tcPr>
          <w:p w14:paraId="4C37585B"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Pilar will send out an all staff email on Monday 21 October notifying staff of the four quality improvement activities we will be doing at King Street Medical Centre and Cabarita Beach Medical Centre.</w:t>
            </w:r>
          </w:p>
          <w:p w14:paraId="45C2E13F" w14:textId="024584F0" w:rsidR="0007652D" w:rsidRDefault="00CF1954" w:rsidP="00CF1954">
            <w:pPr>
              <w:spacing w:after="160" w:line="259" w:lineRule="auto"/>
              <w:rPr>
                <w:b/>
                <w:bCs/>
              </w:rPr>
            </w:pPr>
            <w:r w:rsidRPr="289B8F4F">
              <w:rPr>
                <w:rFonts w:ascii="Arial" w:hAnsi="Arial" w:cs="Arial"/>
                <w:b/>
                <w:bCs/>
                <w:sz w:val="20"/>
                <w:szCs w:val="20"/>
              </w:rPr>
              <w:t>Informing staff of the goals and that the graphs will be displayed in the staff room</w:t>
            </w: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63B0BBCE" w14:textId="686E786B" w:rsidR="0007652D" w:rsidRPr="0096286D" w:rsidRDefault="00CF1954" w:rsidP="0007652D">
            <w:pPr>
              <w:spacing w:after="160" w:line="259" w:lineRule="auto"/>
              <w:rPr>
                <w:b/>
                <w:bCs/>
              </w:rPr>
            </w:pPr>
            <w:r>
              <w:rPr>
                <w:b/>
                <w:bCs/>
              </w:rPr>
              <w:t>21/10/19</w:t>
            </w:r>
          </w:p>
          <w:p w14:paraId="295BEA23" w14:textId="77777777" w:rsidR="0007652D" w:rsidRDefault="0007652D"/>
        </w:tc>
        <w:tc>
          <w:tcPr>
            <w:tcW w:w="3990" w:type="dxa"/>
          </w:tcPr>
          <w:p w14:paraId="32524A32" w14:textId="0B158863" w:rsidR="00823AD3" w:rsidRDefault="00CF1954" w:rsidP="0007652D">
            <w:pPr>
              <w:spacing w:after="160" w:line="259" w:lineRule="auto"/>
              <w:rPr>
                <w:b/>
                <w:bCs/>
              </w:rPr>
            </w:pPr>
            <w:r w:rsidRPr="289B8F4F">
              <w:rPr>
                <w:rFonts w:ascii="Arial" w:hAnsi="Arial" w:cs="Arial"/>
                <w:b/>
                <w:bCs/>
                <w:sz w:val="20"/>
                <w:szCs w:val="20"/>
              </w:rPr>
              <w:t>All staff now aware of the quality activities and using the Top Bar tool to see what clinical and demographic data is missing</w:t>
            </w:r>
          </w:p>
          <w:p w14:paraId="6BAE78D9" w14:textId="77777777" w:rsidR="00823AD3" w:rsidRDefault="00823AD3" w:rsidP="0007652D">
            <w:pPr>
              <w:spacing w:after="160" w:line="259" w:lineRule="auto"/>
              <w:rPr>
                <w:b/>
                <w:bCs/>
              </w:rPr>
            </w:pPr>
          </w:p>
          <w:p w14:paraId="194790F2"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Ensure all computers have access to Top Bar and know how to use it.</w:t>
            </w:r>
          </w:p>
          <w:p w14:paraId="69904B49" w14:textId="74775C28" w:rsidR="00CF1954" w:rsidRPr="00354B36" w:rsidRDefault="00CF1954" w:rsidP="00CF1954">
            <w:pPr>
              <w:rPr>
                <w:rFonts w:ascii="Arial" w:hAnsi="Arial" w:cs="Arial"/>
                <w:b/>
                <w:bCs/>
                <w:sz w:val="20"/>
                <w:szCs w:val="20"/>
              </w:rPr>
            </w:pPr>
            <w:r w:rsidRPr="289B8F4F">
              <w:rPr>
                <w:rFonts w:ascii="Arial" w:hAnsi="Arial" w:cs="Arial"/>
                <w:b/>
                <w:bCs/>
                <w:sz w:val="20"/>
                <w:szCs w:val="20"/>
              </w:rPr>
              <w:t>Ensure Drs know how to use Top Bar</w:t>
            </w:r>
          </w:p>
          <w:p w14:paraId="4631FAC9" w14:textId="777D342D" w:rsidR="0007652D" w:rsidRDefault="0007652D" w:rsidP="00823AD3">
            <w:pPr>
              <w:spacing w:after="160" w:line="259" w:lineRule="auto"/>
            </w:pPr>
          </w:p>
        </w:tc>
      </w:tr>
      <w:tr w:rsidR="0007652D" w14:paraId="56640235" w14:textId="77777777" w:rsidTr="00281251">
        <w:tc>
          <w:tcPr>
            <w:tcW w:w="1980" w:type="dxa"/>
            <w:shd w:val="clear" w:color="auto" w:fill="E2EFD9" w:themeFill="accent6" w:themeFillTint="33"/>
          </w:tcPr>
          <w:p w14:paraId="3F55C8D1" w14:textId="3F948440" w:rsidR="00823AD3" w:rsidRPr="00BC6AE6" w:rsidRDefault="00CF1954">
            <w:r w:rsidRPr="76BB5E43">
              <w:rPr>
                <w:rFonts w:ascii="Arial" w:hAnsi="Arial" w:cs="Arial"/>
                <w:b/>
                <w:bCs/>
                <w:sz w:val="20"/>
                <w:szCs w:val="20"/>
              </w:rPr>
              <w:t>Put up graphs in staff room so that staff can easily see the data.</w:t>
            </w:r>
          </w:p>
        </w:tc>
        <w:tc>
          <w:tcPr>
            <w:tcW w:w="3989" w:type="dxa"/>
          </w:tcPr>
          <w:p w14:paraId="12EAA748"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 xml:space="preserve">Purchase a cork board to display graphs </w:t>
            </w:r>
          </w:p>
          <w:p w14:paraId="6218DAB9" w14:textId="4F202E40" w:rsidR="0007652D" w:rsidRDefault="00CF1954" w:rsidP="00CF1954">
            <w:r w:rsidRPr="289B8F4F">
              <w:rPr>
                <w:rFonts w:ascii="Arial" w:hAnsi="Arial" w:cs="Arial"/>
                <w:b/>
                <w:bCs/>
                <w:sz w:val="20"/>
                <w:szCs w:val="20"/>
              </w:rPr>
              <w:t>Pilar will put up graphs in staff room on Monday 21 October.</w:t>
            </w:r>
          </w:p>
        </w:tc>
        <w:tc>
          <w:tcPr>
            <w:tcW w:w="3989" w:type="dxa"/>
          </w:tcPr>
          <w:p w14:paraId="1D5B910D" w14:textId="32C15D01" w:rsidR="0007652D" w:rsidRPr="0096286D" w:rsidRDefault="00CF1954" w:rsidP="0007652D">
            <w:pPr>
              <w:spacing w:after="160" w:line="259" w:lineRule="auto"/>
              <w:rPr>
                <w:b/>
                <w:bCs/>
              </w:rPr>
            </w:pPr>
            <w:r>
              <w:rPr>
                <w:b/>
                <w:bCs/>
              </w:rPr>
              <w:t>21/10/19 to 15/11/19</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6E8BDA66" w14:textId="77777777" w:rsidR="0007652D" w:rsidRDefault="0007652D" w:rsidP="00CF1954"/>
        </w:tc>
        <w:tc>
          <w:tcPr>
            <w:tcW w:w="3990" w:type="dxa"/>
          </w:tcPr>
          <w:p w14:paraId="06466A2D" w14:textId="04C2CB5B" w:rsidR="003E5527" w:rsidRDefault="00CF1954" w:rsidP="00CF1954">
            <w:r w:rsidRPr="289B8F4F">
              <w:rPr>
                <w:rFonts w:ascii="Arial" w:hAnsi="Arial" w:cs="Arial"/>
                <w:b/>
                <w:bCs/>
                <w:sz w:val="20"/>
                <w:szCs w:val="20"/>
              </w:rPr>
              <w:t>Graphs supplied by PHN discussed with Dr</w:t>
            </w:r>
            <w:r w:rsidR="006C0B44">
              <w:rPr>
                <w:rFonts w:ascii="Arial" w:hAnsi="Arial" w:cs="Arial"/>
                <w:b/>
                <w:bCs/>
                <w:sz w:val="20"/>
                <w:szCs w:val="20"/>
              </w:rPr>
              <w:t xml:space="preserve"> Warne</w:t>
            </w:r>
            <w:r w:rsidRPr="289B8F4F">
              <w:rPr>
                <w:rFonts w:ascii="Arial" w:hAnsi="Arial" w:cs="Arial"/>
                <w:b/>
                <w:bCs/>
                <w:sz w:val="20"/>
                <w:szCs w:val="20"/>
              </w:rPr>
              <w:t xml:space="preserve"> 15/11/2019 and then displayed in doctors staff room</w:t>
            </w:r>
          </w:p>
        </w:tc>
      </w:tr>
      <w:tr w:rsidR="0007652D" w14:paraId="05CF440B" w14:textId="77777777" w:rsidTr="00281251">
        <w:tc>
          <w:tcPr>
            <w:tcW w:w="1980" w:type="dxa"/>
            <w:shd w:val="clear" w:color="auto" w:fill="E2EFD9" w:themeFill="accent6" w:themeFillTint="33"/>
          </w:tcPr>
          <w:p w14:paraId="2142F51F" w14:textId="372AD108" w:rsidR="00823AD3" w:rsidRPr="00BC6AE6" w:rsidRDefault="00CF1954" w:rsidP="00F43115">
            <w:pPr>
              <w:rPr>
                <w:i/>
                <w:iCs/>
              </w:rPr>
            </w:pPr>
            <w:r w:rsidRPr="289B8F4F">
              <w:rPr>
                <w:rFonts w:ascii="Arial" w:hAnsi="Arial" w:cs="Arial"/>
                <w:b/>
                <w:bCs/>
                <w:sz w:val="20"/>
                <w:szCs w:val="20"/>
              </w:rPr>
              <w:t>Create a data quality spreadsheet with individual GPs data so that each GP can see how they are tracking at each medical centre</w:t>
            </w:r>
          </w:p>
        </w:tc>
        <w:tc>
          <w:tcPr>
            <w:tcW w:w="3989" w:type="dxa"/>
          </w:tcPr>
          <w:p w14:paraId="01BF9BA0"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Pilar will collect data relating to quality activities using the PenCat tool</w:t>
            </w:r>
          </w:p>
          <w:p w14:paraId="5C1B7F14" w14:textId="77777777" w:rsidR="0007652D" w:rsidRDefault="00CF1954" w:rsidP="00CF1954">
            <w:pPr>
              <w:rPr>
                <w:rFonts w:ascii="Arial" w:hAnsi="Arial" w:cs="Arial"/>
                <w:b/>
                <w:bCs/>
                <w:sz w:val="20"/>
                <w:szCs w:val="20"/>
              </w:rPr>
            </w:pPr>
            <w:r w:rsidRPr="289B8F4F">
              <w:rPr>
                <w:rFonts w:ascii="Arial" w:hAnsi="Arial" w:cs="Arial"/>
                <w:b/>
                <w:bCs/>
                <w:sz w:val="20"/>
                <w:szCs w:val="20"/>
              </w:rPr>
              <w:t>Spreadsheet will be developed and displayed monthly 21/10/2019</w:t>
            </w:r>
          </w:p>
          <w:p w14:paraId="28C170B9" w14:textId="77777777" w:rsidR="00CF1954" w:rsidRDefault="00CF1954" w:rsidP="00CF1954">
            <w:pPr>
              <w:rPr>
                <w:rFonts w:ascii="Arial" w:hAnsi="Arial" w:cs="Arial"/>
                <w:sz w:val="20"/>
                <w:szCs w:val="20"/>
              </w:rPr>
            </w:pPr>
          </w:p>
          <w:p w14:paraId="200E4333" w14:textId="77777777" w:rsidR="00CF1954" w:rsidRPr="00354B36" w:rsidRDefault="00CF1954" w:rsidP="00CF1954">
            <w:pPr>
              <w:rPr>
                <w:rFonts w:ascii="Arial" w:hAnsi="Arial" w:cs="Arial"/>
                <w:b/>
                <w:bCs/>
                <w:sz w:val="20"/>
                <w:szCs w:val="20"/>
              </w:rPr>
            </w:pPr>
            <w:r w:rsidRPr="3D96E196">
              <w:rPr>
                <w:rFonts w:ascii="Arial" w:hAnsi="Arial" w:cs="Arial"/>
                <w:b/>
                <w:bCs/>
                <w:sz w:val="20"/>
                <w:szCs w:val="20"/>
              </w:rPr>
              <w:t xml:space="preserve">Pilar to download data for quality improvement activities using the Pencat Tool for previous months data. </w:t>
            </w:r>
          </w:p>
          <w:p w14:paraId="5E34B4C5"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Spreadsheet completed for each provider at both practices and displayed each month</w:t>
            </w:r>
          </w:p>
          <w:p w14:paraId="68D97CBC" w14:textId="25E6F7E9" w:rsidR="00CF1954" w:rsidRDefault="00CF1954" w:rsidP="00CF1954"/>
        </w:tc>
        <w:tc>
          <w:tcPr>
            <w:tcW w:w="3989" w:type="dxa"/>
          </w:tcPr>
          <w:p w14:paraId="7A93143B" w14:textId="10589EA8" w:rsidR="0007652D" w:rsidRPr="0096286D" w:rsidRDefault="00CF1954" w:rsidP="00F43115">
            <w:pPr>
              <w:spacing w:after="160" w:line="259" w:lineRule="auto"/>
              <w:rPr>
                <w:b/>
                <w:bCs/>
              </w:rPr>
            </w:pPr>
            <w:r>
              <w:rPr>
                <w:b/>
                <w:bCs/>
              </w:rPr>
              <w:t>21/10/19</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6FB0AEF4" w14:textId="77777777" w:rsidR="0007652D" w:rsidRDefault="0007652D" w:rsidP="00CF1954"/>
        </w:tc>
        <w:tc>
          <w:tcPr>
            <w:tcW w:w="3990" w:type="dxa"/>
          </w:tcPr>
          <w:p w14:paraId="5230E44E" w14:textId="44019DEC" w:rsidR="00823AD3" w:rsidRDefault="00CF1954" w:rsidP="00823AD3">
            <w:pPr>
              <w:spacing w:after="160" w:line="259" w:lineRule="auto"/>
              <w:rPr>
                <w:rFonts w:ascii="Arial" w:hAnsi="Arial" w:cs="Arial"/>
                <w:b/>
                <w:sz w:val="20"/>
                <w:szCs w:val="20"/>
              </w:rPr>
            </w:pPr>
            <w:r>
              <w:rPr>
                <w:rFonts w:ascii="Arial" w:hAnsi="Arial" w:cs="Arial"/>
                <w:b/>
                <w:sz w:val="20"/>
                <w:szCs w:val="20"/>
              </w:rPr>
              <w:t>GPs are reading spreadsheet and are very interested in their figures</w:t>
            </w:r>
          </w:p>
          <w:p w14:paraId="0D1451F6" w14:textId="5F98FB12" w:rsidR="00CF1954" w:rsidRDefault="00CF1954" w:rsidP="00823AD3">
            <w:pPr>
              <w:spacing w:after="160" w:line="259" w:lineRule="auto"/>
              <w:rPr>
                <w:rFonts w:ascii="Arial" w:hAnsi="Arial" w:cs="Arial"/>
                <w:b/>
                <w:sz w:val="20"/>
                <w:szCs w:val="20"/>
              </w:rPr>
            </w:pPr>
          </w:p>
          <w:p w14:paraId="04570584" w14:textId="77777777" w:rsidR="00CF1954" w:rsidRPr="00354B36" w:rsidRDefault="00CF1954" w:rsidP="00CF1954">
            <w:pPr>
              <w:rPr>
                <w:rFonts w:ascii="Arial" w:hAnsi="Arial" w:cs="Arial"/>
                <w:b/>
                <w:bCs/>
                <w:sz w:val="20"/>
                <w:szCs w:val="20"/>
              </w:rPr>
            </w:pPr>
            <w:r w:rsidRPr="289B8F4F">
              <w:rPr>
                <w:rFonts w:ascii="Arial" w:hAnsi="Arial" w:cs="Arial"/>
                <w:b/>
                <w:bCs/>
                <w:sz w:val="20"/>
                <w:szCs w:val="20"/>
              </w:rPr>
              <w:t>Spreadsheet was hard to visualise because of the placement of the corkboard and size of print.</w:t>
            </w:r>
          </w:p>
          <w:p w14:paraId="20D77C7B" w14:textId="260BC977" w:rsidR="0007652D" w:rsidRDefault="00CF1954" w:rsidP="003F6A64">
            <w:pPr>
              <w:spacing w:after="160" w:line="259" w:lineRule="auto"/>
            </w:pPr>
            <w:r w:rsidRPr="289B8F4F">
              <w:rPr>
                <w:rFonts w:ascii="Arial" w:hAnsi="Arial" w:cs="Arial"/>
                <w:b/>
                <w:bCs/>
                <w:sz w:val="20"/>
                <w:szCs w:val="20"/>
              </w:rPr>
              <w:t>Corkboard will be moved for easier access and spreadsheet will be enlarged for easier reading</w:t>
            </w:r>
          </w:p>
        </w:tc>
      </w:tr>
      <w:tr w:rsidR="0007652D" w14:paraId="32F4CD96" w14:textId="77777777" w:rsidTr="00281251">
        <w:tc>
          <w:tcPr>
            <w:tcW w:w="1980" w:type="dxa"/>
            <w:shd w:val="clear" w:color="auto" w:fill="E2EFD9" w:themeFill="accent6" w:themeFillTint="33"/>
          </w:tcPr>
          <w:p w14:paraId="5E93CEA1" w14:textId="412B9334" w:rsidR="0007652D" w:rsidRPr="00823AD3" w:rsidRDefault="00CF1954">
            <w:pPr>
              <w:rPr>
                <w:b/>
                <w:bCs/>
                <w:i/>
                <w:iCs/>
                <w:sz w:val="16"/>
                <w:szCs w:val="16"/>
              </w:rPr>
            </w:pPr>
            <w:r w:rsidRPr="3D96E196">
              <w:rPr>
                <w:rFonts w:ascii="Arial" w:hAnsi="Arial" w:cs="Arial"/>
                <w:b/>
                <w:bCs/>
                <w:sz w:val="20"/>
                <w:szCs w:val="20"/>
              </w:rPr>
              <w:lastRenderedPageBreak/>
              <w:t>After three months compare the figures for each provider for each of the four quality improvement activities and the percentages of ‘Nothing recorded’ for these</w:t>
            </w:r>
          </w:p>
        </w:tc>
        <w:tc>
          <w:tcPr>
            <w:tcW w:w="3989" w:type="dxa"/>
          </w:tcPr>
          <w:p w14:paraId="5A05BA28" w14:textId="77777777" w:rsidR="0007652D" w:rsidRDefault="00CF1954">
            <w:pPr>
              <w:rPr>
                <w:rFonts w:ascii="Arial" w:hAnsi="Arial" w:cs="Arial"/>
                <w:b/>
                <w:bCs/>
                <w:sz w:val="20"/>
                <w:szCs w:val="20"/>
              </w:rPr>
            </w:pPr>
            <w:r w:rsidRPr="3D96E196">
              <w:rPr>
                <w:rFonts w:ascii="Arial" w:hAnsi="Arial" w:cs="Arial"/>
                <w:b/>
                <w:bCs/>
                <w:sz w:val="20"/>
                <w:szCs w:val="20"/>
              </w:rPr>
              <w:t>Pilar collected data through the Pencat tool on 5/2/2020</w:t>
            </w:r>
            <w:r>
              <w:rPr>
                <w:rFonts w:ascii="Arial" w:hAnsi="Arial" w:cs="Arial"/>
                <w:b/>
                <w:bCs/>
                <w:sz w:val="20"/>
                <w:szCs w:val="20"/>
              </w:rPr>
              <w:t xml:space="preserve"> and put into spreadsheet.</w:t>
            </w:r>
          </w:p>
          <w:p w14:paraId="28C36820" w14:textId="77777777" w:rsidR="00CF1954" w:rsidRPr="00354B36" w:rsidRDefault="00CF1954" w:rsidP="00CF1954">
            <w:pPr>
              <w:rPr>
                <w:rFonts w:ascii="Arial" w:hAnsi="Arial" w:cs="Arial"/>
                <w:b/>
                <w:bCs/>
                <w:sz w:val="20"/>
                <w:szCs w:val="20"/>
              </w:rPr>
            </w:pPr>
            <w:r w:rsidRPr="3D96E196">
              <w:rPr>
                <w:rFonts w:ascii="Arial" w:hAnsi="Arial" w:cs="Arial"/>
                <w:b/>
                <w:bCs/>
                <w:sz w:val="20"/>
                <w:szCs w:val="20"/>
              </w:rPr>
              <w:t>Spreadsheets displayed in the staff room and internal memo sent to all staff with information</w:t>
            </w:r>
          </w:p>
          <w:p w14:paraId="6B7E5410" w14:textId="77777777" w:rsidR="00CF1954" w:rsidRPr="00354B36" w:rsidRDefault="00CF1954" w:rsidP="00CF1954">
            <w:pPr>
              <w:rPr>
                <w:rFonts w:ascii="Arial" w:hAnsi="Arial" w:cs="Arial"/>
                <w:b/>
                <w:bCs/>
                <w:sz w:val="20"/>
                <w:szCs w:val="20"/>
              </w:rPr>
            </w:pPr>
          </w:p>
          <w:p w14:paraId="686BCBBE" w14:textId="77777777" w:rsidR="00CF1954" w:rsidRPr="00354B36" w:rsidRDefault="00CF1954" w:rsidP="00CF1954">
            <w:pPr>
              <w:rPr>
                <w:rFonts w:ascii="Arial" w:hAnsi="Arial" w:cs="Arial"/>
                <w:b/>
                <w:bCs/>
                <w:sz w:val="20"/>
                <w:szCs w:val="20"/>
              </w:rPr>
            </w:pPr>
            <w:r w:rsidRPr="3D96E196">
              <w:rPr>
                <w:rFonts w:ascii="Arial" w:hAnsi="Arial" w:cs="Arial"/>
                <w:b/>
                <w:bCs/>
                <w:sz w:val="20"/>
                <w:szCs w:val="20"/>
              </w:rPr>
              <w:t xml:space="preserve">Reception staff informed of need to check all patients have ‘Ethnicity’ recorded when checking their demographic details </w:t>
            </w:r>
          </w:p>
          <w:p w14:paraId="0A742173" w14:textId="77777777" w:rsidR="00CF1954" w:rsidRPr="00354B36" w:rsidRDefault="00CF1954" w:rsidP="00CF1954">
            <w:pPr>
              <w:rPr>
                <w:rFonts w:ascii="Arial" w:hAnsi="Arial" w:cs="Arial"/>
                <w:b/>
                <w:bCs/>
                <w:sz w:val="20"/>
                <w:szCs w:val="20"/>
              </w:rPr>
            </w:pPr>
          </w:p>
          <w:p w14:paraId="2434020F" w14:textId="5C3B2737" w:rsidR="00CF1954" w:rsidRDefault="00CF1954" w:rsidP="00CF1954">
            <w:pPr>
              <w:rPr>
                <w:rFonts w:ascii="Arial" w:hAnsi="Arial" w:cs="Arial"/>
                <w:b/>
                <w:bCs/>
                <w:sz w:val="20"/>
                <w:szCs w:val="20"/>
              </w:rPr>
            </w:pPr>
            <w:r w:rsidRPr="3D96E196">
              <w:rPr>
                <w:rFonts w:ascii="Arial" w:hAnsi="Arial" w:cs="Arial"/>
                <w:b/>
                <w:bCs/>
                <w:sz w:val="20"/>
                <w:szCs w:val="20"/>
              </w:rPr>
              <w:t>Nurses to check all details where possible whilst in treatment room but particularly those coming in for care plans</w:t>
            </w:r>
          </w:p>
          <w:p w14:paraId="645C56D3" w14:textId="457BC16E" w:rsidR="00CF1954" w:rsidRDefault="00CF1954" w:rsidP="00CF1954">
            <w:pPr>
              <w:rPr>
                <w:rFonts w:ascii="Arial" w:hAnsi="Arial" w:cs="Arial"/>
                <w:b/>
                <w:bCs/>
                <w:sz w:val="20"/>
                <w:szCs w:val="20"/>
              </w:rPr>
            </w:pPr>
          </w:p>
          <w:p w14:paraId="3BDC3FD7" w14:textId="77777777" w:rsidR="00CF1954" w:rsidRPr="00354B36" w:rsidRDefault="00CF1954" w:rsidP="00CF1954">
            <w:pPr>
              <w:rPr>
                <w:rFonts w:ascii="Arial" w:hAnsi="Arial" w:cs="Arial"/>
                <w:b/>
                <w:bCs/>
                <w:sz w:val="20"/>
                <w:szCs w:val="20"/>
              </w:rPr>
            </w:pPr>
            <w:r w:rsidRPr="3D96E196">
              <w:rPr>
                <w:rFonts w:ascii="Arial" w:hAnsi="Arial" w:cs="Arial"/>
                <w:b/>
                <w:bCs/>
                <w:sz w:val="20"/>
                <w:szCs w:val="20"/>
              </w:rPr>
              <w:t>Doctors reminded to check all 4 areas of quality improvement activities</w:t>
            </w:r>
          </w:p>
          <w:p w14:paraId="37B87E91" w14:textId="77777777" w:rsidR="00CF1954" w:rsidRPr="00354B36" w:rsidRDefault="00CF1954" w:rsidP="00CF1954">
            <w:pPr>
              <w:rPr>
                <w:rFonts w:ascii="Arial" w:hAnsi="Arial" w:cs="Arial"/>
                <w:b/>
                <w:bCs/>
                <w:sz w:val="20"/>
                <w:szCs w:val="20"/>
              </w:rPr>
            </w:pPr>
          </w:p>
          <w:p w14:paraId="580FD174" w14:textId="61F6F444" w:rsidR="00CF1954" w:rsidRDefault="00CF1954"/>
        </w:tc>
        <w:tc>
          <w:tcPr>
            <w:tcW w:w="3989" w:type="dxa"/>
          </w:tcPr>
          <w:p w14:paraId="71E34560" w14:textId="1243BAC1" w:rsidR="0007652D" w:rsidRDefault="00CF1954">
            <w:r>
              <w:t>5/2/20</w:t>
            </w:r>
          </w:p>
        </w:tc>
        <w:tc>
          <w:tcPr>
            <w:tcW w:w="3990" w:type="dxa"/>
          </w:tcPr>
          <w:p w14:paraId="5DC3822E" w14:textId="77777777" w:rsidR="0007652D" w:rsidRDefault="00CF1954">
            <w:pPr>
              <w:rPr>
                <w:rFonts w:ascii="Arial" w:hAnsi="Arial" w:cs="Arial"/>
                <w:b/>
                <w:bCs/>
                <w:sz w:val="20"/>
                <w:szCs w:val="20"/>
              </w:rPr>
            </w:pPr>
            <w:r w:rsidRPr="2CCEF7A0">
              <w:rPr>
                <w:rFonts w:ascii="Arial" w:hAnsi="Arial" w:cs="Arial"/>
                <w:b/>
                <w:bCs/>
                <w:sz w:val="20"/>
                <w:szCs w:val="20"/>
              </w:rPr>
              <w:t>We have reached our target of 80% recorded on Allergies, Smoking and Ethnicity but only 67.9% on Alcohol status</w:t>
            </w:r>
          </w:p>
          <w:p w14:paraId="36E965D8" w14:textId="3066146D" w:rsidR="00CF1954" w:rsidRDefault="00CF1954">
            <w:r w:rsidRPr="3D96E196">
              <w:rPr>
                <w:rFonts w:ascii="Arial" w:hAnsi="Arial" w:cs="Arial"/>
                <w:b/>
                <w:bCs/>
                <w:sz w:val="20"/>
                <w:szCs w:val="20"/>
              </w:rPr>
              <w:t>Showed that in all cases at both Cabarita Beach and King Street Medical Centre – Alcohol Status was least recorded followed by ‘Ethnicity’</w:t>
            </w:r>
          </w:p>
        </w:tc>
      </w:tr>
      <w:tr w:rsidR="00823AD3" w14:paraId="69112A89" w14:textId="77777777" w:rsidTr="00281251">
        <w:trPr>
          <w:trHeight w:val="2631"/>
        </w:trPr>
        <w:tc>
          <w:tcPr>
            <w:tcW w:w="1980" w:type="dxa"/>
            <w:vMerge w:val="restart"/>
            <w:shd w:val="clear" w:color="auto" w:fill="E2EFD9" w:themeFill="accent6" w:themeFillTint="33"/>
          </w:tcPr>
          <w:p w14:paraId="0AE3345E" w14:textId="2A08AF68" w:rsidR="00823AD3" w:rsidRPr="0007652D" w:rsidRDefault="00823AD3" w:rsidP="00883FFF">
            <w:pPr>
              <w:rPr>
                <w:b/>
                <w:bCs/>
              </w:rPr>
            </w:pPr>
            <w:r>
              <w:rPr>
                <w:b/>
                <w:bCs/>
              </w:rPr>
              <w:t>ROLLOUT TO BUSINESS AS USUAL</w:t>
            </w:r>
          </w:p>
        </w:tc>
        <w:tc>
          <w:tcPr>
            <w:tcW w:w="11968" w:type="dxa"/>
            <w:gridSpan w:val="3"/>
          </w:tcPr>
          <w:p w14:paraId="1B2639C1" w14:textId="77777777" w:rsidR="00BF2EE5" w:rsidRDefault="00CF1954" w:rsidP="00823AD3">
            <w:pPr>
              <w:rPr>
                <w:rFonts w:ascii="Calibri" w:eastAsia="Calibri" w:hAnsi="Calibri" w:cs="Times New Roman"/>
                <w:b/>
                <w:bCs/>
                <w:noProof/>
              </w:rPr>
            </w:pPr>
            <w:r>
              <w:rPr>
                <w:rFonts w:ascii="Calibri" w:eastAsia="Calibri" w:hAnsi="Calibri" w:cs="Times New Roman"/>
                <w:b/>
                <w:bCs/>
                <w:noProof/>
              </w:rPr>
              <w:t>We have decided that we will check our data quality on a three monthly basis. The PIP QI dashboard provided by NCPHN will be a reminder to do this.</w:t>
            </w:r>
          </w:p>
          <w:p w14:paraId="39247D4F" w14:textId="77777777" w:rsidR="00BF2EE5" w:rsidRDefault="00BF2EE5" w:rsidP="00823AD3">
            <w:pPr>
              <w:rPr>
                <w:rFonts w:ascii="Calibri" w:eastAsia="Calibri" w:hAnsi="Calibri" w:cs="Times New Roman"/>
                <w:b/>
                <w:bCs/>
                <w:noProof/>
              </w:rPr>
            </w:pPr>
          </w:p>
          <w:p w14:paraId="670C9731" w14:textId="00581D98" w:rsidR="00823AD3" w:rsidRDefault="00BF2EE5" w:rsidP="00883FFF">
            <w:r>
              <w:rPr>
                <w:rFonts w:ascii="Calibri" w:eastAsia="Calibri" w:hAnsi="Calibri" w:cs="Times New Roman"/>
                <w:b/>
                <w:bCs/>
                <w:noProof/>
              </w:rPr>
              <w:t>We feel our practice team now has a better understanding of data quality and the importance of doing this and it has now become business as usual at our practice to ensure that our data</w:t>
            </w:r>
            <w:r w:rsidR="00CF1954">
              <w:rPr>
                <w:rFonts w:ascii="Calibri" w:eastAsia="Calibri" w:hAnsi="Calibri" w:cs="Times New Roman"/>
                <w:b/>
                <w:bCs/>
                <w:noProof/>
              </w:rPr>
              <w:t xml:space="preserve"> </w:t>
            </w:r>
            <w:r>
              <w:rPr>
                <w:rFonts w:ascii="Calibri" w:eastAsia="Calibri" w:hAnsi="Calibri" w:cs="Times New Roman"/>
                <w:b/>
                <w:bCs/>
                <w:noProof/>
              </w:rPr>
              <w:t>quality remains of a high standard.</w:t>
            </w:r>
          </w:p>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69083966" w:rsidR="0011241C" w:rsidRPr="00BC6AE6" w:rsidRDefault="00BF2EE5" w:rsidP="00BC6AE6">
            <w:pPr>
              <w:rPr>
                <w:sz w:val="24"/>
                <w:szCs w:val="24"/>
              </w:rPr>
            </w:pPr>
            <w:r>
              <w:rPr>
                <w:sz w:val="24"/>
                <w:szCs w:val="24"/>
              </w:rPr>
              <w:t>3</w:t>
            </w:r>
            <w:r w:rsidR="0011241C" w:rsidRPr="00BC6AE6">
              <w:rPr>
                <w:sz w:val="24"/>
                <w:szCs w:val="24"/>
              </w:rPr>
              <w:t xml:space="preserve"> MONTH REVIEW DATE: </w:t>
            </w:r>
            <w:r>
              <w:rPr>
                <w:sz w:val="24"/>
                <w:szCs w:val="24"/>
              </w:rPr>
              <w:t>September 2020</w:t>
            </w:r>
          </w:p>
        </w:tc>
      </w:tr>
    </w:tbl>
    <w:p w14:paraId="48DABA60" w14:textId="7F9260F6" w:rsidR="006B30A9" w:rsidRDefault="00E77A3C"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531E" w14:textId="77777777" w:rsidR="00E77A3C" w:rsidRDefault="00E77A3C" w:rsidP="0007652D">
      <w:pPr>
        <w:spacing w:after="0" w:line="240" w:lineRule="auto"/>
      </w:pPr>
      <w:r>
        <w:separator/>
      </w:r>
    </w:p>
  </w:endnote>
  <w:endnote w:type="continuationSeparator" w:id="0">
    <w:p w14:paraId="77206D9C" w14:textId="77777777" w:rsidR="00E77A3C" w:rsidRDefault="00E77A3C"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&#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4363D3E8">
          <wp:simplePos x="0" y="0"/>
          <wp:positionH relativeFrom="column">
            <wp:posOffset>-897775</wp:posOffset>
          </wp:positionH>
          <wp:positionV relativeFrom="paragraph">
            <wp:posOffset>-353937</wp:posOffset>
          </wp:positionV>
          <wp:extent cx="10862195" cy="977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0887392" cy="979866"/>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&#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7B61" w14:textId="77777777" w:rsidR="00E77A3C" w:rsidRDefault="00E77A3C" w:rsidP="0007652D">
      <w:pPr>
        <w:spacing w:after="0" w:line="240" w:lineRule="auto"/>
      </w:pPr>
      <w:r>
        <w:separator/>
      </w:r>
    </w:p>
  </w:footnote>
  <w:footnote w:type="continuationSeparator" w:id="0">
    <w:p w14:paraId="433DF12F" w14:textId="77777777" w:rsidR="00E77A3C" w:rsidRDefault="00E77A3C"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5AA040B0">
          <wp:simplePos x="0" y="0"/>
          <wp:positionH relativeFrom="column">
            <wp:posOffset>-432435</wp:posOffset>
          </wp:positionH>
          <wp:positionV relativeFrom="paragraph">
            <wp:posOffset>-624090</wp:posOffset>
          </wp:positionV>
          <wp:extent cx="9948016" cy="12136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948016" cy="1213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4C3B70"/>
    <w:multiLevelType w:val="hybridMultilevel"/>
    <w:tmpl w:val="D1900378"/>
    <w:lvl w:ilvl="0" w:tplc="77848EFC">
      <w:start w:val="1"/>
      <w:numFmt w:val="bullet"/>
      <w:lvlText w:val=""/>
      <w:lvlJc w:val="left"/>
      <w:pPr>
        <w:ind w:left="720" w:hanging="360"/>
      </w:pPr>
      <w:rPr>
        <w:rFonts w:ascii="Symbol" w:hAnsi="Symbol" w:hint="default"/>
      </w:rPr>
    </w:lvl>
    <w:lvl w:ilvl="1" w:tplc="DF6A9358">
      <w:start w:val="1"/>
      <w:numFmt w:val="bullet"/>
      <w:lvlText w:val="o"/>
      <w:lvlJc w:val="left"/>
      <w:pPr>
        <w:ind w:left="1440" w:hanging="360"/>
      </w:pPr>
      <w:rPr>
        <w:rFonts w:ascii="Courier New" w:hAnsi="Courier New" w:hint="default"/>
      </w:rPr>
    </w:lvl>
    <w:lvl w:ilvl="2" w:tplc="23EC889A">
      <w:start w:val="1"/>
      <w:numFmt w:val="bullet"/>
      <w:lvlText w:val=""/>
      <w:lvlJc w:val="left"/>
      <w:pPr>
        <w:ind w:left="2160" w:hanging="360"/>
      </w:pPr>
      <w:rPr>
        <w:rFonts w:ascii="Wingdings" w:hAnsi="Wingdings" w:hint="default"/>
      </w:rPr>
    </w:lvl>
    <w:lvl w:ilvl="3" w:tplc="DECCF564">
      <w:start w:val="1"/>
      <w:numFmt w:val="bullet"/>
      <w:lvlText w:val=""/>
      <w:lvlJc w:val="left"/>
      <w:pPr>
        <w:ind w:left="2880" w:hanging="360"/>
      </w:pPr>
      <w:rPr>
        <w:rFonts w:ascii="Symbol" w:hAnsi="Symbol" w:hint="default"/>
      </w:rPr>
    </w:lvl>
    <w:lvl w:ilvl="4" w:tplc="85908E02">
      <w:start w:val="1"/>
      <w:numFmt w:val="bullet"/>
      <w:lvlText w:val="o"/>
      <w:lvlJc w:val="left"/>
      <w:pPr>
        <w:ind w:left="3600" w:hanging="360"/>
      </w:pPr>
      <w:rPr>
        <w:rFonts w:ascii="Courier New" w:hAnsi="Courier New" w:hint="default"/>
      </w:rPr>
    </w:lvl>
    <w:lvl w:ilvl="5" w:tplc="70C81724">
      <w:start w:val="1"/>
      <w:numFmt w:val="bullet"/>
      <w:lvlText w:val=""/>
      <w:lvlJc w:val="left"/>
      <w:pPr>
        <w:ind w:left="4320" w:hanging="360"/>
      </w:pPr>
      <w:rPr>
        <w:rFonts w:ascii="Wingdings" w:hAnsi="Wingdings" w:hint="default"/>
      </w:rPr>
    </w:lvl>
    <w:lvl w:ilvl="6" w:tplc="2CF88BEA">
      <w:start w:val="1"/>
      <w:numFmt w:val="bullet"/>
      <w:lvlText w:val=""/>
      <w:lvlJc w:val="left"/>
      <w:pPr>
        <w:ind w:left="5040" w:hanging="360"/>
      </w:pPr>
      <w:rPr>
        <w:rFonts w:ascii="Symbol" w:hAnsi="Symbol" w:hint="default"/>
      </w:rPr>
    </w:lvl>
    <w:lvl w:ilvl="7" w:tplc="39E21FD2">
      <w:start w:val="1"/>
      <w:numFmt w:val="bullet"/>
      <w:lvlText w:val="o"/>
      <w:lvlJc w:val="left"/>
      <w:pPr>
        <w:ind w:left="5760" w:hanging="360"/>
      </w:pPr>
      <w:rPr>
        <w:rFonts w:ascii="Courier New" w:hAnsi="Courier New" w:hint="default"/>
      </w:rPr>
    </w:lvl>
    <w:lvl w:ilvl="8" w:tplc="05B41730">
      <w:start w:val="1"/>
      <w:numFmt w:val="bullet"/>
      <w:lvlText w:val=""/>
      <w:lvlJc w:val="left"/>
      <w:pPr>
        <w:ind w:left="6480" w:hanging="360"/>
      </w:pPr>
      <w:rPr>
        <w:rFonts w:ascii="Wingdings" w:hAnsi="Wingdings" w:hint="default"/>
      </w:rPr>
    </w:lvl>
  </w:abstractNum>
  <w:abstractNum w:abstractNumId="2"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1176"/>
    <w:rsid w:val="000B219F"/>
    <w:rsid w:val="000B73E3"/>
    <w:rsid w:val="000D4E30"/>
    <w:rsid w:val="000D4FF4"/>
    <w:rsid w:val="001017CE"/>
    <w:rsid w:val="0011241C"/>
    <w:rsid w:val="00114D61"/>
    <w:rsid w:val="00132C0B"/>
    <w:rsid w:val="00140161"/>
    <w:rsid w:val="00141BCD"/>
    <w:rsid w:val="001960C9"/>
    <w:rsid w:val="001A2F93"/>
    <w:rsid w:val="001B3E45"/>
    <w:rsid w:val="001C0EA9"/>
    <w:rsid w:val="001E5EF4"/>
    <w:rsid w:val="001F38BA"/>
    <w:rsid w:val="002147B1"/>
    <w:rsid w:val="00261710"/>
    <w:rsid w:val="00281251"/>
    <w:rsid w:val="00286123"/>
    <w:rsid w:val="00295C5C"/>
    <w:rsid w:val="002B0B9C"/>
    <w:rsid w:val="002C744B"/>
    <w:rsid w:val="002E12B0"/>
    <w:rsid w:val="00325EBE"/>
    <w:rsid w:val="00331E09"/>
    <w:rsid w:val="00367BA7"/>
    <w:rsid w:val="003729A5"/>
    <w:rsid w:val="003844E0"/>
    <w:rsid w:val="003925F2"/>
    <w:rsid w:val="003E5527"/>
    <w:rsid w:val="003E6914"/>
    <w:rsid w:val="003F1D0F"/>
    <w:rsid w:val="003F33CC"/>
    <w:rsid w:val="003F6A64"/>
    <w:rsid w:val="0041761D"/>
    <w:rsid w:val="004302AC"/>
    <w:rsid w:val="00443823"/>
    <w:rsid w:val="00471B26"/>
    <w:rsid w:val="0048347C"/>
    <w:rsid w:val="00485A7B"/>
    <w:rsid w:val="004976F8"/>
    <w:rsid w:val="00523C1B"/>
    <w:rsid w:val="00555CDB"/>
    <w:rsid w:val="005C73EF"/>
    <w:rsid w:val="005D484F"/>
    <w:rsid w:val="005E0787"/>
    <w:rsid w:val="005E2FEA"/>
    <w:rsid w:val="005E5A1F"/>
    <w:rsid w:val="005F2C2A"/>
    <w:rsid w:val="00612A01"/>
    <w:rsid w:val="00671E9E"/>
    <w:rsid w:val="006722D5"/>
    <w:rsid w:val="006B14BA"/>
    <w:rsid w:val="006B7E8C"/>
    <w:rsid w:val="006C0B44"/>
    <w:rsid w:val="00703CBA"/>
    <w:rsid w:val="00726A99"/>
    <w:rsid w:val="00755A96"/>
    <w:rsid w:val="00767290"/>
    <w:rsid w:val="007D7AE1"/>
    <w:rsid w:val="00823AD3"/>
    <w:rsid w:val="00836BBF"/>
    <w:rsid w:val="008616C0"/>
    <w:rsid w:val="008620D7"/>
    <w:rsid w:val="00867217"/>
    <w:rsid w:val="008744D2"/>
    <w:rsid w:val="00883FFF"/>
    <w:rsid w:val="008B1DCE"/>
    <w:rsid w:val="00931BA2"/>
    <w:rsid w:val="00940382"/>
    <w:rsid w:val="0094195E"/>
    <w:rsid w:val="009911EC"/>
    <w:rsid w:val="00991E35"/>
    <w:rsid w:val="009B46E3"/>
    <w:rsid w:val="009C2368"/>
    <w:rsid w:val="009E77B4"/>
    <w:rsid w:val="009F0021"/>
    <w:rsid w:val="009F60EC"/>
    <w:rsid w:val="00A27D3B"/>
    <w:rsid w:val="00A36A45"/>
    <w:rsid w:val="00A577B1"/>
    <w:rsid w:val="00A626F7"/>
    <w:rsid w:val="00A66E3A"/>
    <w:rsid w:val="00AD5DDC"/>
    <w:rsid w:val="00AD661C"/>
    <w:rsid w:val="00AF1418"/>
    <w:rsid w:val="00AF3A00"/>
    <w:rsid w:val="00B40AC7"/>
    <w:rsid w:val="00B42EA3"/>
    <w:rsid w:val="00B83B14"/>
    <w:rsid w:val="00B84BD2"/>
    <w:rsid w:val="00B926E2"/>
    <w:rsid w:val="00BC6AE6"/>
    <w:rsid w:val="00BD025B"/>
    <w:rsid w:val="00BD7962"/>
    <w:rsid w:val="00BE4AE0"/>
    <w:rsid w:val="00BF2EE5"/>
    <w:rsid w:val="00C11C9A"/>
    <w:rsid w:val="00C30C62"/>
    <w:rsid w:val="00C503BD"/>
    <w:rsid w:val="00C57742"/>
    <w:rsid w:val="00C70330"/>
    <w:rsid w:val="00CD7E1C"/>
    <w:rsid w:val="00CF1954"/>
    <w:rsid w:val="00D01221"/>
    <w:rsid w:val="00D3567A"/>
    <w:rsid w:val="00D70C0D"/>
    <w:rsid w:val="00D73ED6"/>
    <w:rsid w:val="00D95264"/>
    <w:rsid w:val="00DB19E9"/>
    <w:rsid w:val="00DE4B89"/>
    <w:rsid w:val="00DF37C7"/>
    <w:rsid w:val="00E20F99"/>
    <w:rsid w:val="00E43E66"/>
    <w:rsid w:val="00E46158"/>
    <w:rsid w:val="00E61B99"/>
    <w:rsid w:val="00E77A3C"/>
    <w:rsid w:val="00E8697D"/>
    <w:rsid w:val="00E96281"/>
    <w:rsid w:val="00EB7DDA"/>
    <w:rsid w:val="00F1384E"/>
    <w:rsid w:val="00F149CD"/>
    <w:rsid w:val="00F41514"/>
    <w:rsid w:val="00F420F0"/>
    <w:rsid w:val="00F42458"/>
    <w:rsid w:val="00F6041B"/>
    <w:rsid w:val="00F85485"/>
    <w:rsid w:val="00FA6895"/>
    <w:rsid w:val="00FF1109"/>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12" ma:contentTypeDescription="Create a new document." ma:contentTypeScope="" ma:versionID="eb775b40d185b24ea247f0e8b26d76fe">
  <xsd:schema xmlns:xsd="http://www.w3.org/2001/XMLSchema" xmlns:xs="http://www.w3.org/2001/XMLSchema" xmlns:p="http://schemas.microsoft.com/office/2006/metadata/properties" xmlns:ns3="5185a946-7e44-4f8a-a613-d26c82140f7c" xmlns:ns4="3aa99af0-ddd5-4aab-beea-42c68982fb12" targetNamespace="http://schemas.microsoft.com/office/2006/metadata/properties" ma:root="true" ma:fieldsID="82e16c5ed4837eb40b683c9d00759b5d" ns3:_="" ns4:_="">
    <xsd:import namespace="5185a946-7e44-4f8a-a613-d26c82140f7c"/>
    <xsd:import namespace="3aa99af0-ddd5-4aab-beea-42c68982fb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99af0-ddd5-4aab-beea-42c68982f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2.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85054-4F5C-4ED1-A63D-52245A41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3aa99af0-ddd5-4aab-beea-42c68982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Bernadette Carter</cp:lastModifiedBy>
  <cp:revision>10</cp:revision>
  <dcterms:created xsi:type="dcterms:W3CDTF">2020-07-10T03:42:00Z</dcterms:created>
  <dcterms:modified xsi:type="dcterms:W3CDTF">2020-07-10T04:33:00Z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